
<file path=[Content_Types].xml><?xml version="1.0" encoding="utf-8"?>
<Types xmlns="http://schemas.openxmlformats.org/package/2006/content-types">
  <Default ContentType="image/jpeg" Extension="jpg"/>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xml" PartName="/customXML/item1.xml"/>
  <Override ContentType="application/vnd.openxmlformats-officedocument.custom-properties+xml" PartName="/docProps/custom.xml"/>
  <Override ContentType="application/vnd.openxmlformats-officedocument.customXmlProperties+xml" PartName="/customXML/itemProps1.xml"/>
  <Override ContentType="application/vnd.openxmlformats-officedocument.wordprocessingml.styles+xml" PartName="/word/styles.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custom-properties" Target="docProps/custom.xml"/><Relationship Id="rId2" Type="http://schemas.openxmlformats.org/package/2006/relationships/metadata/core-properties" Target="docProps/core.xml"/><Relationship Id="rId3"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sidR="00000000" w:rsidDel="00000000" w:rsidP="00000000" w:rsidRDefault="00000000" w:rsidRPr="00000000" w14:paraId="00000001">
      <w:pPr>
        <w:pBdr>
          <w:top w:space="0" w:sz="0" w:val="nil"/>
          <w:left w:space="0" w:sz="0" w:val="nil"/>
          <w:bottom w:space="0" w:sz="0" w:val="nil"/>
          <w:right w:space="0" w:sz="0" w:val="nil"/>
          <w:between w:space="0" w:sz="0" w:val="nil"/>
        </w:pBdr>
        <w:rPr>
          <w:rFonts w:ascii="Tahoma" w:cs="Tahoma" w:eastAsia="Tahoma" w:hAnsi="Tahoma"/>
          <w:color w:val="000000"/>
          <w:sz w:val="20"/>
          <w:szCs w:val="20"/>
        </w:rPr>
      </w:pPr>
      <w:r w:rsidDel="00000000" w:rsidR="00000000" w:rsidRPr="00000000">
        <w:rPr>
          <w:rFonts w:ascii="Tahoma" w:cs="Tahoma" w:eastAsia="Tahoma" w:hAnsi="Tahoma"/>
          <w:color w:val="000000"/>
          <w:sz w:val="20"/>
          <w:szCs w:val="20"/>
          <w:rtl w:val="0"/>
        </w:rPr>
        <w:t xml:space="preserve">PRESSEMITTEILUNG</w:t>
      </w:r>
    </w:p>
    <w:p w:rsidR="00000000" w:rsidDel="00000000" w:rsidP="00000000" w:rsidRDefault="00000000" w:rsidRPr="00000000" w14:paraId="00000002">
      <w:pPr>
        <w:pBdr>
          <w:top w:space="0" w:sz="0" w:val="nil"/>
          <w:left w:space="0" w:sz="0" w:val="nil"/>
          <w:bottom w:space="0" w:sz="0" w:val="nil"/>
          <w:right w:space="0" w:sz="0" w:val="nil"/>
          <w:between w:space="0" w:sz="0" w:val="nil"/>
        </w:pBdr>
        <w:rPr>
          <w:rFonts w:ascii="Tahoma" w:cs="Tahoma" w:eastAsia="Tahoma" w:hAnsi="Tahoma"/>
          <w:b w:val="1"/>
          <w:color w:val="000000"/>
          <w:sz w:val="24"/>
          <w:szCs w:val="24"/>
        </w:rPr>
      </w:pPr>
      <w:r w:rsidDel="00000000" w:rsidR="00000000" w:rsidRPr="00000000">
        <w:rPr>
          <w:rtl w:val="0"/>
        </w:rPr>
      </w:r>
    </w:p>
    <w:p w:rsidR="00000000" w:rsidDel="00000000" w:rsidP="00000000" w:rsidRDefault="00000000" w:rsidRPr="00000000" w14:paraId="00000003">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b w:val="1"/>
          <w:sz w:val="36"/>
          <w:szCs w:val="36"/>
          <w:rtl w:val="0"/>
        </w:rPr>
        <w:t xml:space="preserve">Release 2025: Flexible Lösungen für den Shopfloor</w:t>
      </w:r>
      <w:r w:rsidDel="00000000" w:rsidR="00000000" w:rsidRPr="00000000">
        <w:rPr>
          <w:rtl w:val="0"/>
        </w:rPr>
      </w:r>
    </w:p>
    <w:p w:rsidR="00000000" w:rsidDel="00000000" w:rsidP="00000000" w:rsidRDefault="00000000" w:rsidRPr="00000000" w14:paraId="00000004">
      <w:pPr>
        <w:pBdr>
          <w:top w:space="0" w:sz="0" w:val="nil"/>
          <w:left w:space="0" w:sz="0" w:val="nil"/>
          <w:bottom w:space="0" w:sz="0" w:val="nil"/>
          <w:right w:space="0" w:sz="0" w:val="nil"/>
          <w:between w:space="0" w:sz="0" w:val="nil"/>
        </w:pBdr>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TDM Systems stellt Softw</w:t>
      </w:r>
      <w:r w:rsidDel="00000000" w:rsidR="00000000" w:rsidRPr="00000000">
        <w:rPr>
          <w:rFonts w:ascii="Tahoma" w:cs="Tahoma" w:eastAsia="Tahoma" w:hAnsi="Tahoma"/>
          <w:b w:val="1"/>
          <w:rtl w:val="0"/>
        </w:rPr>
        <w:t xml:space="preserve">areupdates und</w:t>
      </w:r>
      <w:r w:rsidDel="00000000" w:rsidR="00000000" w:rsidRPr="00000000">
        <w:rPr>
          <w:rFonts w:ascii="Tahoma" w:cs="Tahoma" w:eastAsia="Tahoma" w:hAnsi="Tahoma"/>
          <w:b w:val="1"/>
          <w:color w:val="000000"/>
          <w:rtl w:val="0"/>
        </w:rPr>
        <w:t xml:space="preserve"> TDM Machine Web Client vor</w:t>
      </w:r>
    </w:p>
    <w:p w:rsidR="00000000" w:rsidDel="00000000" w:rsidP="00000000" w:rsidRDefault="00000000" w:rsidRPr="00000000" w14:paraId="00000005">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tl w:val="0"/>
        </w:rPr>
      </w:r>
    </w:p>
    <w:p w:rsidR="00000000" w:rsidDel="00000000" w:rsidP="00000000" w:rsidRDefault="00000000" w:rsidRPr="00000000" w14:paraId="00000006">
      <w:pPr>
        <w:numPr>
          <w:ilvl w:val="0"/>
          <w:numId w:val="1"/>
        </w:numPr>
        <w:pBdr>
          <w:top w:space="0" w:sz="0" w:val="nil"/>
          <w:left w:space="0" w:sz="0" w:val="nil"/>
          <w:bottom w:space="0" w:sz="0" w:val="nil"/>
          <w:right w:space="0" w:sz="0" w:val="nil"/>
          <w:between w:space="0" w:sz="0" w:val="nil"/>
        </w:pBdr>
        <w:ind w:left="720" w:hanging="360"/>
        <w:rPr>
          <w:rFonts w:ascii="Tahoma" w:cs="Tahoma" w:eastAsia="Tahoma" w:hAnsi="Tahoma"/>
          <w:color w:val="000000"/>
        </w:rPr>
      </w:pPr>
      <w:r w:rsidDel="00000000" w:rsidR="00000000" w:rsidRPr="00000000">
        <w:rPr>
          <w:rFonts w:ascii="Tahoma" w:cs="Tahoma" w:eastAsia="Tahoma" w:hAnsi="Tahoma"/>
          <w:color w:val="000000"/>
          <w:rtl w:val="0"/>
        </w:rPr>
        <w:t xml:space="preserve">Shopfloor-Lösung auf allen gängigen Browsern verfügbar</w:t>
      </w:r>
    </w:p>
    <w:p w:rsidR="00000000" w:rsidDel="00000000" w:rsidP="00000000" w:rsidRDefault="00000000" w:rsidRPr="00000000" w14:paraId="00000007">
      <w:pPr>
        <w:numPr>
          <w:ilvl w:val="0"/>
          <w:numId w:val="1"/>
        </w:numPr>
        <w:pBdr>
          <w:top w:space="0" w:sz="0" w:val="nil"/>
          <w:left w:space="0" w:sz="0" w:val="nil"/>
          <w:bottom w:space="0" w:sz="0" w:val="nil"/>
          <w:right w:space="0" w:sz="0" w:val="nil"/>
          <w:between w:space="0" w:sz="0" w:val="nil"/>
        </w:pBdr>
        <w:ind w:left="720" w:hanging="360"/>
        <w:rPr>
          <w:rFonts w:ascii="Tahoma" w:cs="Tahoma" w:eastAsia="Tahoma" w:hAnsi="Tahoma"/>
          <w:color w:val="000000"/>
        </w:rPr>
      </w:pPr>
      <w:r w:rsidDel="00000000" w:rsidR="00000000" w:rsidRPr="00000000">
        <w:rPr>
          <w:rFonts w:ascii="Tahoma" w:cs="Tahoma" w:eastAsia="Tahoma" w:hAnsi="Tahoma"/>
          <w:color w:val="000000"/>
          <w:rtl w:val="0"/>
        </w:rPr>
        <w:t xml:space="preserve">Kundenfeedback als entscheidender Entwicklungstreiber</w:t>
      </w:r>
    </w:p>
    <w:p w:rsidR="00000000" w:rsidDel="00000000" w:rsidP="00000000" w:rsidRDefault="00000000" w:rsidRPr="00000000" w14:paraId="00000008">
      <w:pPr>
        <w:numPr>
          <w:ilvl w:val="0"/>
          <w:numId w:val="1"/>
        </w:numPr>
        <w:pBdr>
          <w:top w:space="0" w:sz="0" w:val="nil"/>
          <w:left w:space="0" w:sz="0" w:val="nil"/>
          <w:bottom w:space="0" w:sz="0" w:val="nil"/>
          <w:right w:space="0" w:sz="0" w:val="nil"/>
          <w:between w:space="0" w:sz="0" w:val="nil"/>
        </w:pBdr>
        <w:ind w:left="720" w:hanging="360"/>
        <w:rPr/>
      </w:pPr>
      <w:r w:rsidDel="00000000" w:rsidR="00000000" w:rsidRPr="00000000">
        <w:rPr>
          <w:rFonts w:ascii="Tahoma" w:cs="Tahoma" w:eastAsia="Tahoma" w:hAnsi="Tahoma"/>
          <w:color w:val="000000"/>
          <w:rtl w:val="0"/>
        </w:rPr>
        <w:t xml:space="preserve">Verbesserte Darstellungen bei TDM Global Line und TDM ClassiX</w:t>
      </w:r>
      <w:r w:rsidDel="00000000" w:rsidR="00000000" w:rsidRPr="00000000">
        <w:rPr>
          <w:rtl w:val="0"/>
        </w:rPr>
      </w:r>
    </w:p>
    <w:p w:rsidR="00000000" w:rsidDel="00000000" w:rsidP="00000000" w:rsidRDefault="00000000" w:rsidRPr="00000000" w14:paraId="00000009">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tl w:val="0"/>
        </w:rPr>
      </w:r>
    </w:p>
    <w:p w:rsidR="00000000" w:rsidDel="00000000" w:rsidP="00000000" w:rsidRDefault="00000000" w:rsidRPr="00000000" w14:paraId="0000000A">
      <w:pPr>
        <w:pBdr>
          <w:top w:space="0" w:sz="0" w:val="nil"/>
          <w:left w:space="0" w:sz="0" w:val="nil"/>
          <w:bottom w:space="0" w:sz="0" w:val="nil"/>
          <w:right w:space="0" w:sz="0" w:val="nil"/>
          <w:between w:space="0" w:sz="0" w:val="nil"/>
        </w:pBdr>
        <w:rPr>
          <w:rFonts w:ascii="Tahoma" w:cs="Tahoma" w:eastAsia="Tahoma" w:hAnsi="Tahoma"/>
          <w:b w:val="1"/>
        </w:rPr>
      </w:pPr>
      <w:r w:rsidDel="00000000" w:rsidR="00000000" w:rsidRPr="00000000">
        <w:rPr>
          <w:rFonts w:ascii="Tahoma" w:cs="Tahoma" w:eastAsia="Tahoma" w:hAnsi="Tahoma"/>
          <w:b w:val="1"/>
          <w:color w:val="000000"/>
          <w:rtl w:val="0"/>
        </w:rPr>
        <w:t xml:space="preserve">Tübingen, </w:t>
      </w:r>
      <w:r w:rsidDel="00000000" w:rsidR="00000000" w:rsidRPr="00000000">
        <w:rPr>
          <w:rFonts w:ascii="Tahoma" w:cs="Tahoma" w:eastAsia="Tahoma" w:hAnsi="Tahoma"/>
          <w:b w:val="1"/>
          <w:rtl w:val="0"/>
        </w:rPr>
        <w:t xml:space="preserve">16</w:t>
      </w:r>
      <w:r w:rsidDel="00000000" w:rsidR="00000000" w:rsidRPr="00000000">
        <w:rPr>
          <w:rFonts w:ascii="Tahoma" w:cs="Tahoma" w:eastAsia="Tahoma" w:hAnsi="Tahoma"/>
          <w:b w:val="1"/>
          <w:color w:val="000000"/>
          <w:rtl w:val="0"/>
        </w:rPr>
        <w:t xml:space="preserve">. Januar 2025.</w:t>
      </w:r>
      <w:r w:rsidDel="00000000" w:rsidR="00000000" w:rsidRPr="00000000">
        <w:rPr>
          <w:rFonts w:ascii="Tahoma" w:cs="Tahoma" w:eastAsia="Tahoma" w:hAnsi="Tahoma"/>
          <w:color w:val="000000"/>
          <w:rtl w:val="0"/>
        </w:rPr>
        <w:t xml:space="preserve"> </w:t>
      </w:r>
      <w:r w:rsidDel="00000000" w:rsidR="00000000" w:rsidRPr="00000000">
        <w:rPr>
          <w:rFonts w:ascii="Tahoma" w:cs="Tahoma" w:eastAsia="Tahoma" w:hAnsi="Tahoma"/>
          <w:b w:val="1"/>
          <w:rtl w:val="0"/>
        </w:rPr>
        <w:t xml:space="preserve">Mit Updates der Softwarelösungen TDM Global Line und TDM ClassiX sowie dem neuen TDM Machine Web Client bietet TDM Systems leistungsfähige und benutzerfreundliche Lösungen, mit denen die </w:t>
      </w:r>
      <w:r w:rsidDel="00000000" w:rsidR="00000000" w:rsidRPr="00000000">
        <w:rPr>
          <w:rFonts w:ascii="Tahoma" w:cs="Tahoma" w:eastAsia="Tahoma" w:hAnsi="Tahoma"/>
          <w:b w:val="1"/>
          <w:color w:val="000000"/>
          <w:rtl w:val="0"/>
        </w:rPr>
        <w:t xml:space="preserve">Werkzeugverwaltung und -überwachung auf dem Shopfloor effizienter und einfacher </w:t>
      </w:r>
      <w:r w:rsidDel="00000000" w:rsidR="00000000" w:rsidRPr="00000000">
        <w:rPr>
          <w:rFonts w:ascii="Tahoma" w:cs="Tahoma" w:eastAsia="Tahoma" w:hAnsi="Tahoma"/>
          <w:b w:val="1"/>
          <w:rtl w:val="0"/>
        </w:rPr>
        <w:t xml:space="preserve">gestaltet werden kann</w:t>
      </w:r>
      <w:r w:rsidDel="00000000" w:rsidR="00000000" w:rsidRPr="00000000">
        <w:rPr>
          <w:rFonts w:ascii="Tahoma" w:cs="Tahoma" w:eastAsia="Tahoma" w:hAnsi="Tahoma"/>
          <w:b w:val="1"/>
          <w:color w:val="000000"/>
          <w:rtl w:val="0"/>
        </w:rPr>
        <w:t xml:space="preserve">. Die Softw</w:t>
      </w:r>
      <w:r w:rsidDel="00000000" w:rsidR="00000000" w:rsidRPr="00000000">
        <w:rPr>
          <w:rFonts w:ascii="Tahoma" w:cs="Tahoma" w:eastAsia="Tahoma" w:hAnsi="Tahoma"/>
          <w:b w:val="1"/>
          <w:rtl w:val="0"/>
        </w:rPr>
        <w:t xml:space="preserve">arelösungen verfügen in der aktuellen Version über zusätzliche Funktionen und eine verbesserte Anzeige.</w:t>
      </w:r>
      <w:r w:rsidDel="00000000" w:rsidR="00000000" w:rsidRPr="00000000">
        <w:rPr>
          <w:rFonts w:ascii="Tahoma" w:cs="Tahoma" w:eastAsia="Tahoma" w:hAnsi="Tahoma"/>
          <w:b w:val="1"/>
          <w:color w:val="000000"/>
          <w:rtl w:val="0"/>
        </w:rPr>
        <w:t xml:space="preserve"> </w:t>
      </w:r>
      <w:r w:rsidDel="00000000" w:rsidR="00000000" w:rsidRPr="00000000">
        <w:rPr>
          <w:rtl w:val="0"/>
        </w:rPr>
      </w:r>
    </w:p>
    <w:p w:rsidR="00000000" w:rsidDel="00000000" w:rsidP="00000000" w:rsidRDefault="00000000" w:rsidRPr="00000000" w14:paraId="0000000B">
      <w:pPr>
        <w:pBdr>
          <w:top w:space="0" w:sz="0" w:val="nil"/>
          <w:left w:space="0" w:sz="0" w:val="nil"/>
          <w:bottom w:space="0" w:sz="0" w:val="nil"/>
          <w:right w:space="0" w:sz="0" w:val="nil"/>
          <w:between w:space="0" w:sz="0" w:val="nil"/>
        </w:pBdr>
        <w:rPr>
          <w:rFonts w:ascii="Tahoma" w:cs="Tahoma" w:eastAsia="Tahoma" w:hAnsi="Tahoma"/>
          <w:b w:val="1"/>
        </w:rPr>
      </w:pPr>
      <w:r w:rsidDel="00000000" w:rsidR="00000000" w:rsidRPr="00000000">
        <w:rPr>
          <w:rtl w:val="0"/>
        </w:rPr>
      </w:r>
    </w:p>
    <w:p w:rsidR="00000000" w:rsidDel="00000000" w:rsidP="00000000" w:rsidRDefault="00000000" w:rsidRPr="00000000" w14:paraId="0000000C">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color w:val="000000"/>
          <w:rtl w:val="0"/>
        </w:rPr>
        <w:t xml:space="preserve">Die Arbeit von Maschinenbedienern ist anspruchsvoll und findet unter rauen Bedingungen statt. Angeregt durch diese Herausforderungen und dem Feedback bestehender Nutzer geht TDM Systems deswegen jetzt einen neuen Weg: Ab sofort können Kunden mit dem TDM Machine Web Client eine browser-basierte Lösung nutzen, die mit maximaler Flexibilität auf jedem Endgerät verfügbar ist.</w:t>
      </w:r>
    </w:p>
    <w:p w:rsidR="00000000" w:rsidDel="00000000" w:rsidP="00000000" w:rsidRDefault="00000000" w:rsidRPr="00000000" w14:paraId="0000000D">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tl w:val="0"/>
        </w:rPr>
      </w:r>
    </w:p>
    <w:p w:rsidR="00000000" w:rsidDel="00000000" w:rsidP="00000000" w:rsidRDefault="00000000" w:rsidRPr="00000000" w14:paraId="0000000E">
      <w:pPr>
        <w:pBdr>
          <w:top w:space="0" w:sz="0" w:val="nil"/>
          <w:left w:space="0" w:sz="0" w:val="nil"/>
          <w:bottom w:space="0" w:sz="0" w:val="nil"/>
          <w:right w:space="0" w:sz="0" w:val="nil"/>
          <w:between w:space="0" w:sz="0" w:val="nil"/>
        </w:pBdr>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Umfangreiche Funktionen flexibel nutzbar</w:t>
      </w:r>
    </w:p>
    <w:p w:rsidR="00000000" w:rsidDel="00000000" w:rsidP="00000000" w:rsidRDefault="00000000" w:rsidRPr="00000000" w14:paraId="0000000F">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color w:val="000000"/>
          <w:rtl w:val="0"/>
        </w:rPr>
        <w:t xml:space="preserve">Der TDM Machine Web Client ist eine komplett browser-basierte Anwendung, die es Maschinenbedienern ermöglicht, den Werkzeugfluss durch den Shopfloor unabhängig von TDM-Desktopanwendungen zu überwachen. Das System kommuniziert mit dem TDM Applikationsserver und ist kompatibel mit allen TDM Desktopanwendungen – egal ob TDM Global Line oder TDM ClassiX. Es stellt Fertigungsaufträge dar, sowohl aus dem TDM Voreinstellbereich als auch aus den Shopfloor-Applikationen TDMshopcontrol und dem TDM Shopfloor Manager. Außerdem zeigt der TDM Machine Web Client die Magazin-Inhalte sowie eine tabellarische Werkzeugübersicht auf einen Blick und bietet die Möglichkeit, detaillierte Werkzeuginformationen abzurufen. Anwender können verschiedene Aktionen für Werkzeuge ausführen, sowie Job- und Picklistendetails einsehen.</w:t>
      </w:r>
    </w:p>
    <w:p w:rsidR="00000000" w:rsidDel="00000000" w:rsidP="00000000" w:rsidRDefault="00000000" w:rsidRPr="00000000" w14:paraId="00000010">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tl w:val="0"/>
        </w:rPr>
      </w:r>
    </w:p>
    <w:p w:rsidR="00000000" w:rsidDel="00000000" w:rsidP="00000000" w:rsidRDefault="00000000" w:rsidRPr="00000000" w14:paraId="00000011">
      <w:pPr>
        <w:pBdr>
          <w:top w:space="0" w:sz="0" w:val="nil"/>
          <w:left w:space="0" w:sz="0" w:val="nil"/>
          <w:bottom w:space="0" w:sz="0" w:val="nil"/>
          <w:right w:space="0" w:sz="0" w:val="nil"/>
          <w:between w:space="0" w:sz="0" w:val="nil"/>
        </w:pBdr>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Auf Kundenwünsche reagiert</w:t>
      </w:r>
    </w:p>
    <w:p w:rsidR="00000000" w:rsidDel="00000000" w:rsidP="00000000" w:rsidRDefault="00000000" w:rsidRPr="00000000" w14:paraId="00000012">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color w:val="000000"/>
          <w:rtl w:val="0"/>
        </w:rPr>
        <w:t xml:space="preserve">„Mit dem TDM Machine Web Client kommen wir einer Anregung unserer Kunden nach und bieten Bedienern an der Maschine eine schlanke Lösung, die sie bei der täglichen Arbeit unterstützt,“ erklärt Matthias Gröger, Head of Product TDM bei TDM Systems und fügt hinzu: „Wir nehmen die Wünsche unserer Nutzer sehr ernst, deswegen ist dieser Web Client auch nur der erste einer ganzen Reihe von browser-basierten Lösungen, die in Zukunft kommen werden.“ </w:t>
      </w:r>
    </w:p>
    <w:p w:rsidR="00000000" w:rsidDel="00000000" w:rsidP="00000000" w:rsidRDefault="00000000" w:rsidRPr="00000000" w14:paraId="00000013">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tl w:val="0"/>
        </w:rPr>
      </w:r>
    </w:p>
    <w:p w:rsidR="00000000" w:rsidDel="00000000" w:rsidP="00000000" w:rsidRDefault="00000000" w:rsidRPr="00000000" w14:paraId="00000014">
      <w:pPr>
        <w:pBdr>
          <w:top w:space="0" w:sz="0" w:val="nil"/>
          <w:left w:space="0" w:sz="0" w:val="nil"/>
          <w:bottom w:space="0" w:sz="0" w:val="nil"/>
          <w:right w:space="0" w:sz="0" w:val="nil"/>
          <w:between w:space="0" w:sz="0" w:val="nil"/>
        </w:pBdr>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Verbesserte Softwarelösungen</w:t>
      </w:r>
    </w:p>
    <w:p w:rsidR="00000000" w:rsidDel="00000000" w:rsidP="00000000" w:rsidRDefault="00000000" w:rsidRPr="00000000" w14:paraId="00000015">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color w:val="000000"/>
          <w:rtl w:val="0"/>
        </w:rPr>
        <w:t xml:space="preserve">Auch die TDM Softwarelösungen TDM Global Line und TDM ClassiX, die beide mit dem TDM Machine Web Client kompatibel sind, sind überarbeitet worden und warten mit neuen Funktionen auf. Der TDM Shopfloor Manager von TDM Global Line unterstützt nun auch zusätzlich Komponenten, Vorrichtungen und Mess- und Prüfmittel und verfügt unter anderem über eine verbesserte Anzeige des Lagerplatzstatus in allen relevanten Tabellen und Widgets. TDM ClassiX bietet jetzt neben anderen Funktionen auch eine Übersicht des Lagerplatzes beim Ein- und Auslagern im TDMstoreasy und berücksichtigt bei der Bilanzierung im TDMshopcontrol auch Reststandzeiten und -mengen und stellt diese zusätzlich dar.</w:t>
      </w:r>
    </w:p>
    <w:p w:rsidR="00000000" w:rsidDel="00000000" w:rsidP="00000000" w:rsidRDefault="00000000" w:rsidRPr="00000000" w14:paraId="00000016">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tl w:val="0"/>
        </w:rPr>
      </w:r>
    </w:p>
    <w:p w:rsidR="00000000" w:rsidDel="00000000" w:rsidP="00000000" w:rsidRDefault="00000000" w:rsidRPr="00000000" w14:paraId="00000017">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rtl w:val="0"/>
        </w:rPr>
        <w:t xml:space="preserve">D</w:t>
      </w:r>
      <w:r w:rsidDel="00000000" w:rsidR="00000000" w:rsidRPr="00000000">
        <w:rPr>
          <w:rFonts w:ascii="Tahoma" w:cs="Tahoma" w:eastAsia="Tahoma" w:hAnsi="Tahoma"/>
          <w:color w:val="000000"/>
          <w:rtl w:val="0"/>
        </w:rPr>
        <w:t xml:space="preserve">ruckfähiges Bildmaterial finden Sie hier:</w:t>
      </w:r>
      <w:r w:rsidDel="00000000" w:rsidR="00000000" w:rsidRPr="00000000">
        <w:rPr>
          <w:rFonts w:ascii="Tahoma" w:cs="Tahoma" w:eastAsia="Tahoma" w:hAnsi="Tahoma"/>
          <w:rtl w:val="0"/>
        </w:rPr>
        <w:t xml:space="preserve"> </w:t>
      </w:r>
      <w:hyperlink r:id="rId7">
        <w:r w:rsidDel="00000000" w:rsidR="00000000" w:rsidRPr="00000000">
          <w:rPr>
            <w:rFonts w:ascii="Tahoma" w:cs="Tahoma" w:eastAsia="Tahoma" w:hAnsi="Tahoma"/>
            <w:color w:val="1155cc"/>
            <w:u w:val="single"/>
            <w:rtl w:val="0"/>
          </w:rPr>
          <w:t xml:space="preserve">Bildmaterial</w:t>
        </w:r>
      </w:hyperlink>
      <w:r w:rsidDel="00000000" w:rsidR="00000000" w:rsidRPr="00000000">
        <w:rPr>
          <w:rtl w:val="0"/>
        </w:rPr>
      </w:r>
    </w:p>
    <w:p w:rsidR="00000000" w:rsidDel="00000000" w:rsidP="00000000" w:rsidRDefault="00000000" w:rsidRPr="00000000" w14:paraId="00000018">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tl w:val="0"/>
        </w:rPr>
      </w:r>
    </w:p>
    <w:p w:rsidR="00000000" w:rsidDel="00000000" w:rsidP="00000000" w:rsidRDefault="00000000" w:rsidRPr="00000000" w14:paraId="00000019">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color w:val="000000"/>
          <w:rtl w:val="0"/>
        </w:rPr>
        <w:t xml:space="preserve">Bild 1:</w:t>
      </w:r>
    </w:p>
    <w:p w:rsidR="00000000" w:rsidDel="00000000" w:rsidP="00000000" w:rsidRDefault="00000000" w:rsidRPr="00000000" w14:paraId="0000001A">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color w:val="000000"/>
        </w:rPr>
        <w:drawing>
          <wp:inline distB="0" distT="0" distL="0" distR="0">
            <wp:extent cx="2700000" cy="1688400"/>
            <wp:effectExtent b="0" l="0" r="0" t="0"/>
            <wp:docPr id="1736433220" name="image1.png"/>
            <a:graphic>
              <a:graphicData uri="http://schemas.openxmlformats.org/drawingml/2006/picture">
                <pic:pic>
                  <pic:nvPicPr>
                    <pic:cNvPr id="0" name="image1.png"/>
                    <pic:cNvPicPr preferRelativeResize="0"/>
                  </pic:nvPicPr>
                  <pic:blipFill>
                    <a:blip r:embed="rId8"/>
                    <a:srcRect b="0" l="0" r="0" t="0"/>
                    <a:stretch>
                      <a:fillRect/>
                    </a:stretch>
                  </pic:blipFill>
                  <pic:spPr>
                    <a:xfrm>
                      <a:off x="0" y="0"/>
                      <a:ext cx="2700000" cy="1688400"/>
                    </a:xfrm>
                    <a:prstGeom prst="rect"/>
                    <a:ln/>
                  </pic:spPr>
                </pic:pic>
              </a:graphicData>
            </a:graphic>
          </wp:inline>
        </w:drawing>
      </w:r>
      <w:r w:rsidDel="00000000" w:rsidR="00000000" w:rsidRPr="00000000">
        <w:rPr>
          <w:rtl w:val="0"/>
        </w:rPr>
      </w:r>
    </w:p>
    <w:p w:rsidR="00000000" w:rsidDel="00000000" w:rsidP="00000000" w:rsidRDefault="00000000" w:rsidRPr="00000000" w14:paraId="0000001B">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b w:val="1"/>
          <w:color w:val="000000"/>
          <w:rtl w:val="0"/>
        </w:rPr>
        <w:t xml:space="preserve">BU:</w:t>
      </w:r>
      <w:r w:rsidDel="00000000" w:rsidR="00000000" w:rsidRPr="00000000">
        <w:rPr>
          <w:rFonts w:ascii="Tahoma" w:cs="Tahoma" w:eastAsia="Tahoma" w:hAnsi="Tahoma"/>
          <w:color w:val="000000"/>
          <w:rtl w:val="0"/>
        </w:rPr>
        <w:t xml:space="preserve"> Anzeige der Werkzeuge mit Standzeitinformation und Status einer ausgewählten Kommissionierliste.</w:t>
      </w:r>
    </w:p>
    <w:p w:rsidR="00000000" w:rsidDel="00000000" w:rsidP="00000000" w:rsidRDefault="00000000" w:rsidRPr="00000000" w14:paraId="0000001C">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b w:val="1"/>
          <w:color w:val="000000"/>
          <w:rtl w:val="0"/>
        </w:rPr>
        <w:t xml:space="preserve">Bildquelle:</w:t>
      </w:r>
      <w:r w:rsidDel="00000000" w:rsidR="00000000" w:rsidRPr="00000000">
        <w:rPr>
          <w:rFonts w:ascii="Tahoma" w:cs="Tahoma" w:eastAsia="Tahoma" w:hAnsi="Tahoma"/>
          <w:color w:val="000000"/>
          <w:rtl w:val="0"/>
        </w:rPr>
        <w:t xml:space="preserve"> TDM Systems</w:t>
      </w:r>
    </w:p>
    <w:p w:rsidR="00000000" w:rsidDel="00000000" w:rsidP="00000000" w:rsidRDefault="00000000" w:rsidRPr="00000000" w14:paraId="0000001D">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tl w:val="0"/>
        </w:rPr>
      </w:r>
    </w:p>
    <w:p w:rsidR="00000000" w:rsidDel="00000000" w:rsidP="00000000" w:rsidRDefault="00000000" w:rsidRPr="00000000" w14:paraId="0000001E">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color w:val="000000"/>
          <w:rtl w:val="0"/>
        </w:rPr>
        <w:t xml:space="preserve">Bild 2:</w:t>
      </w:r>
    </w:p>
    <w:p w:rsidR="00000000" w:rsidDel="00000000" w:rsidP="00000000" w:rsidRDefault="00000000" w:rsidRPr="00000000" w14:paraId="0000001F">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color w:val="000000"/>
        </w:rPr>
        <w:drawing>
          <wp:inline distB="0" distT="0" distL="0" distR="0">
            <wp:extent cx="2700000" cy="1688400"/>
            <wp:effectExtent b="0" l="0" r="0" t="0"/>
            <wp:docPr id="1736433222" name="image3.png"/>
            <a:graphic>
              <a:graphicData uri="http://schemas.openxmlformats.org/drawingml/2006/picture">
                <pic:pic>
                  <pic:nvPicPr>
                    <pic:cNvPr id="0" name="image3.png"/>
                    <pic:cNvPicPr preferRelativeResize="0"/>
                  </pic:nvPicPr>
                  <pic:blipFill>
                    <a:blip r:embed="rId9"/>
                    <a:srcRect b="0" l="0" r="0" t="0"/>
                    <a:stretch>
                      <a:fillRect/>
                    </a:stretch>
                  </pic:blipFill>
                  <pic:spPr>
                    <a:xfrm>
                      <a:off x="0" y="0"/>
                      <a:ext cx="2700000" cy="1688400"/>
                    </a:xfrm>
                    <a:prstGeom prst="rect"/>
                    <a:ln/>
                  </pic:spPr>
                </pic:pic>
              </a:graphicData>
            </a:graphic>
          </wp:inline>
        </w:drawing>
      </w:r>
      <w:r w:rsidDel="00000000" w:rsidR="00000000" w:rsidRPr="00000000">
        <w:rPr>
          <w:rtl w:val="0"/>
        </w:rPr>
      </w:r>
    </w:p>
    <w:p w:rsidR="00000000" w:rsidDel="00000000" w:rsidP="00000000" w:rsidRDefault="00000000" w:rsidRPr="00000000" w14:paraId="00000020">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b w:val="1"/>
          <w:color w:val="000000"/>
          <w:rtl w:val="0"/>
        </w:rPr>
        <w:t xml:space="preserve">BU:</w:t>
      </w:r>
      <w:r w:rsidDel="00000000" w:rsidR="00000000" w:rsidRPr="00000000">
        <w:rPr>
          <w:rFonts w:ascii="Tahoma" w:cs="Tahoma" w:eastAsia="Tahoma" w:hAnsi="Tahoma"/>
          <w:color w:val="000000"/>
          <w:rtl w:val="0"/>
        </w:rPr>
        <w:t xml:space="preserve"> Beim 3D-Zusammenbau werden die Parameter für die Datenübernahme aktualisiert.</w:t>
      </w:r>
    </w:p>
    <w:p w:rsidR="00000000" w:rsidDel="00000000" w:rsidP="00000000" w:rsidRDefault="00000000" w:rsidRPr="00000000" w14:paraId="00000021">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b w:val="1"/>
          <w:color w:val="000000"/>
          <w:rtl w:val="0"/>
        </w:rPr>
        <w:t xml:space="preserve">Bildquelle:</w:t>
      </w:r>
      <w:r w:rsidDel="00000000" w:rsidR="00000000" w:rsidRPr="00000000">
        <w:rPr>
          <w:rFonts w:ascii="Tahoma" w:cs="Tahoma" w:eastAsia="Tahoma" w:hAnsi="Tahoma"/>
          <w:color w:val="000000"/>
          <w:rtl w:val="0"/>
        </w:rPr>
        <w:t xml:space="preserve"> TDM Systems</w:t>
      </w:r>
    </w:p>
    <w:p w:rsidR="00000000" w:rsidDel="00000000" w:rsidP="00000000" w:rsidRDefault="00000000" w:rsidRPr="00000000" w14:paraId="00000022">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color w:val="000000"/>
          <w:rtl w:val="0"/>
        </w:rPr>
        <w:t xml:space="preserve">Bild 3:</w:t>
      </w:r>
    </w:p>
    <w:p w:rsidR="00000000" w:rsidDel="00000000" w:rsidP="00000000" w:rsidRDefault="00000000" w:rsidRPr="00000000" w14:paraId="00000023">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color w:val="000000"/>
        </w:rPr>
        <w:drawing>
          <wp:inline distB="0" distT="0" distL="0" distR="0">
            <wp:extent cx="2700000" cy="1602000"/>
            <wp:effectExtent b="0" l="0" r="0" t="0"/>
            <wp:docPr id="1736433221" name="image2.png"/>
            <a:graphic>
              <a:graphicData uri="http://schemas.openxmlformats.org/drawingml/2006/picture">
                <pic:pic>
                  <pic:nvPicPr>
                    <pic:cNvPr id="0" name="image2.png"/>
                    <pic:cNvPicPr preferRelativeResize="0"/>
                  </pic:nvPicPr>
                  <pic:blipFill>
                    <a:blip r:embed="rId10"/>
                    <a:srcRect b="0" l="0" r="0" t="0"/>
                    <a:stretch>
                      <a:fillRect/>
                    </a:stretch>
                  </pic:blipFill>
                  <pic:spPr>
                    <a:xfrm>
                      <a:off x="0" y="0"/>
                      <a:ext cx="2700000" cy="1602000"/>
                    </a:xfrm>
                    <a:prstGeom prst="rect"/>
                    <a:ln/>
                  </pic:spPr>
                </pic:pic>
              </a:graphicData>
            </a:graphic>
          </wp:inline>
        </w:drawing>
      </w:r>
      <w:r w:rsidDel="00000000" w:rsidR="00000000" w:rsidRPr="00000000">
        <w:rPr>
          <w:rtl w:val="0"/>
        </w:rPr>
      </w:r>
    </w:p>
    <w:p w:rsidR="00000000" w:rsidDel="00000000" w:rsidP="00000000" w:rsidRDefault="00000000" w:rsidRPr="00000000" w14:paraId="00000024">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b w:val="1"/>
          <w:color w:val="000000"/>
          <w:rtl w:val="0"/>
        </w:rPr>
        <w:t xml:space="preserve">BU:</w:t>
      </w:r>
      <w:r w:rsidDel="00000000" w:rsidR="00000000" w:rsidRPr="00000000">
        <w:rPr>
          <w:rFonts w:ascii="Tahoma" w:cs="Tahoma" w:eastAsia="Tahoma" w:hAnsi="Tahoma"/>
          <w:color w:val="000000"/>
          <w:rtl w:val="0"/>
        </w:rPr>
        <w:t xml:space="preserve"> Im TDM Lagermodul gibt es einen neuen Systemparameter, mit dem die Verwendungsart während der Demontage geändert werden kann.</w:t>
      </w:r>
    </w:p>
    <w:p w:rsidR="00000000" w:rsidDel="00000000" w:rsidP="00000000" w:rsidRDefault="00000000" w:rsidRPr="00000000" w14:paraId="00000025">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b w:val="1"/>
          <w:color w:val="000000"/>
          <w:rtl w:val="0"/>
        </w:rPr>
        <w:t xml:space="preserve">Bildquelle:</w:t>
      </w:r>
      <w:r w:rsidDel="00000000" w:rsidR="00000000" w:rsidRPr="00000000">
        <w:rPr>
          <w:rFonts w:ascii="Tahoma" w:cs="Tahoma" w:eastAsia="Tahoma" w:hAnsi="Tahoma"/>
          <w:color w:val="000000"/>
          <w:rtl w:val="0"/>
        </w:rPr>
        <w:t xml:space="preserve"> TDM Systems</w:t>
      </w:r>
    </w:p>
    <w:p w:rsidR="00000000" w:rsidDel="00000000" w:rsidP="00000000" w:rsidRDefault="00000000" w:rsidRPr="00000000" w14:paraId="00000026">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tl w:val="0"/>
        </w:rPr>
      </w:r>
    </w:p>
    <w:p w:rsidR="00000000" w:rsidDel="00000000" w:rsidP="00000000" w:rsidRDefault="00000000" w:rsidRPr="00000000" w14:paraId="00000027">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color w:val="000000"/>
          <w:rtl w:val="0"/>
        </w:rPr>
        <w:t xml:space="preserve">Bild 4:</w:t>
      </w:r>
    </w:p>
    <w:p w:rsidR="00000000" w:rsidDel="00000000" w:rsidP="00000000" w:rsidRDefault="00000000" w:rsidRPr="00000000" w14:paraId="00000028">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color w:val="000000"/>
        </w:rPr>
        <w:drawing>
          <wp:inline distB="0" distT="0" distL="0" distR="0">
            <wp:extent cx="2700000" cy="1692000"/>
            <wp:effectExtent b="0" l="0" r="0" t="0"/>
            <wp:docPr id="1736433224" name="image5.png"/>
            <a:graphic>
              <a:graphicData uri="http://schemas.openxmlformats.org/drawingml/2006/picture">
                <pic:pic>
                  <pic:nvPicPr>
                    <pic:cNvPr id="0" name="image5.png"/>
                    <pic:cNvPicPr preferRelativeResize="0"/>
                  </pic:nvPicPr>
                  <pic:blipFill>
                    <a:blip r:embed="rId11"/>
                    <a:srcRect b="0" l="0" r="0" t="0"/>
                    <a:stretch>
                      <a:fillRect/>
                    </a:stretch>
                  </pic:blipFill>
                  <pic:spPr>
                    <a:xfrm>
                      <a:off x="0" y="0"/>
                      <a:ext cx="2700000" cy="1692000"/>
                    </a:xfrm>
                    <a:prstGeom prst="rect"/>
                    <a:ln/>
                  </pic:spPr>
                </pic:pic>
              </a:graphicData>
            </a:graphic>
          </wp:inline>
        </w:drawing>
      </w:r>
      <w:r w:rsidDel="00000000" w:rsidR="00000000" w:rsidRPr="00000000">
        <w:rPr>
          <w:rtl w:val="0"/>
        </w:rPr>
      </w:r>
    </w:p>
    <w:p w:rsidR="00000000" w:rsidDel="00000000" w:rsidP="00000000" w:rsidRDefault="00000000" w:rsidRPr="00000000" w14:paraId="00000029">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b w:val="1"/>
          <w:color w:val="000000"/>
          <w:rtl w:val="0"/>
        </w:rPr>
        <w:t xml:space="preserve">BU:</w:t>
      </w:r>
      <w:r w:rsidDel="00000000" w:rsidR="00000000" w:rsidRPr="00000000">
        <w:rPr>
          <w:rFonts w:ascii="Tahoma" w:cs="Tahoma" w:eastAsia="Tahoma" w:hAnsi="Tahoma"/>
          <w:color w:val="000000"/>
          <w:rtl w:val="0"/>
        </w:rPr>
        <w:t xml:space="preserve"> Bei der Bedarfsberechnung werden Fertigungshilfsmittel wie z.B. Vorrichtungen, Mess-/Prüfmittel und Komponenten berücksichtigt.</w:t>
      </w:r>
    </w:p>
    <w:p w:rsidR="00000000" w:rsidDel="00000000" w:rsidP="00000000" w:rsidRDefault="00000000" w:rsidRPr="00000000" w14:paraId="0000002A">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b w:val="1"/>
          <w:color w:val="000000"/>
          <w:rtl w:val="0"/>
        </w:rPr>
        <w:t xml:space="preserve">Bildquelle:</w:t>
      </w:r>
      <w:r w:rsidDel="00000000" w:rsidR="00000000" w:rsidRPr="00000000">
        <w:rPr>
          <w:rFonts w:ascii="Tahoma" w:cs="Tahoma" w:eastAsia="Tahoma" w:hAnsi="Tahoma"/>
          <w:color w:val="000000"/>
          <w:rtl w:val="0"/>
        </w:rPr>
        <w:t xml:space="preserve"> TDM Systems</w:t>
      </w:r>
    </w:p>
    <w:p w:rsidR="00000000" w:rsidDel="00000000" w:rsidP="00000000" w:rsidRDefault="00000000" w:rsidRPr="00000000" w14:paraId="0000002B">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tl w:val="0"/>
        </w:rPr>
      </w:r>
    </w:p>
    <w:p w:rsidR="00000000" w:rsidDel="00000000" w:rsidP="00000000" w:rsidRDefault="00000000" w:rsidRPr="00000000" w14:paraId="0000002C">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tl w:val="0"/>
        </w:rPr>
      </w:r>
    </w:p>
    <w:p w:rsidR="00000000" w:rsidDel="00000000" w:rsidP="00000000" w:rsidRDefault="00000000" w:rsidRPr="00000000" w14:paraId="0000002D">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b w:val="1"/>
          <w:color w:val="000000"/>
          <w:rtl w:val="0"/>
        </w:rPr>
        <w:t xml:space="preserve">Über TDM Systems</w:t>
      </w:r>
      <w:r w:rsidDel="00000000" w:rsidR="00000000" w:rsidRPr="00000000">
        <w:rPr>
          <w:rtl w:val="0"/>
        </w:rPr>
      </w:r>
    </w:p>
    <w:p w:rsidR="00000000" w:rsidDel="00000000" w:rsidP="00000000" w:rsidRDefault="00000000" w:rsidRPr="00000000" w14:paraId="0000002E">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color w:val="000000"/>
          <w:rtl w:val="0"/>
        </w:rPr>
        <w:t xml:space="preserve">Die TDM Systems GmbH ist seit über 35 Jahren der führende Anbieter von Lösungen zur Werkzeugverwaltung im Bereich der Zerspanung. Das Tübinger Unternehmen fokussiert sich auf die Prozessoptimierung durch digitale Werkzeugeinplanung und -bereitstellung. Kernkompetenzen von TDM Systems sind das Generieren von Werkzeugdaten und -grafiken, die Integration in die CAM-Planung sowie die Werkzeug-Organisation auf Shopfloor-Ebene. TDM Cloud Essentials ermöglicht kleinen Unternehmen einen cloudbasierten Einstieg in die Werkzeugverwaltung. Mit den Lösungen TDM iCut und TDM appCom bietet TDM Systems nun auch digitale Assistenten für das Optimieren von Maschinenlaufzeiten. TDM Systems ist Teil der Sandvik Gruppe.</w:t>
      </w:r>
    </w:p>
    <w:p w:rsidR="00000000" w:rsidDel="00000000" w:rsidP="00000000" w:rsidRDefault="00000000" w:rsidRPr="00000000" w14:paraId="0000002F">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tl w:val="0"/>
        </w:rPr>
      </w:r>
    </w:p>
    <w:p w:rsidR="00000000" w:rsidDel="00000000" w:rsidP="00000000" w:rsidRDefault="00000000" w:rsidRPr="00000000" w14:paraId="00000030">
      <w:pPr>
        <w:pBdr>
          <w:top w:space="0" w:sz="0" w:val="nil"/>
          <w:left w:space="0" w:sz="0" w:val="nil"/>
          <w:bottom w:space="0" w:sz="0" w:val="nil"/>
          <w:right w:space="0" w:sz="0" w:val="nil"/>
          <w:between w:space="0" w:sz="0" w:val="nil"/>
        </w:pBdr>
        <w:rPr>
          <w:rFonts w:ascii="Tahoma" w:cs="Tahoma" w:eastAsia="Tahoma" w:hAnsi="Tahoma"/>
          <w:b w:val="1"/>
          <w:color w:val="000000"/>
        </w:rPr>
      </w:pPr>
      <w:r w:rsidDel="00000000" w:rsidR="00000000" w:rsidRPr="00000000">
        <w:rPr>
          <w:rFonts w:ascii="Tahoma" w:cs="Tahoma" w:eastAsia="Tahoma" w:hAnsi="Tahoma"/>
          <w:b w:val="1"/>
          <w:color w:val="000000"/>
          <w:rtl w:val="0"/>
        </w:rPr>
        <w:t xml:space="preserve">Unternehmenskontakt:</w:t>
      </w:r>
    </w:p>
    <w:p w:rsidR="00000000" w:rsidDel="00000000" w:rsidP="00000000" w:rsidRDefault="00000000" w:rsidRPr="00000000" w14:paraId="00000031">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color w:val="000000"/>
          <w:rtl w:val="0"/>
        </w:rPr>
        <w:t xml:space="preserve">TDM Systems GmbH</w:t>
      </w:r>
    </w:p>
    <w:p w:rsidR="00000000" w:rsidDel="00000000" w:rsidP="00000000" w:rsidRDefault="00000000" w:rsidRPr="00000000" w14:paraId="00000032">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color w:val="000000"/>
          <w:rtl w:val="0"/>
        </w:rPr>
        <w:t xml:space="preserve">Christian Kübel</w:t>
      </w:r>
    </w:p>
    <w:p w:rsidR="00000000" w:rsidDel="00000000" w:rsidP="00000000" w:rsidRDefault="00000000" w:rsidRPr="00000000" w14:paraId="00000033">
      <w:pPr>
        <w:pBdr>
          <w:top w:space="0" w:sz="0" w:val="nil"/>
          <w:left w:space="0" w:sz="0" w:val="nil"/>
          <w:bottom w:space="0" w:sz="0" w:val="nil"/>
          <w:right w:space="0" w:sz="0" w:val="nil"/>
          <w:between w:space="0" w:sz="0" w:val="nil"/>
        </w:pBdr>
        <w:rPr>
          <w:rFonts w:ascii="Tahoma" w:cs="Tahoma" w:eastAsia="Tahoma" w:hAnsi="Tahoma"/>
        </w:rPr>
      </w:pPr>
      <w:r w:rsidDel="00000000" w:rsidR="00000000" w:rsidRPr="00000000">
        <w:rPr>
          <w:rFonts w:ascii="Tahoma" w:cs="Tahoma" w:eastAsia="Tahoma" w:hAnsi="Tahoma"/>
          <w:color w:val="000000"/>
          <w:rtl w:val="0"/>
        </w:rPr>
        <w:t xml:space="preserve">Head of Sales EMEA, APAC &amp; Channel Management</w:t>
      </w:r>
      <w:r w:rsidDel="00000000" w:rsidR="00000000" w:rsidRPr="00000000">
        <w:rPr>
          <w:rtl w:val="0"/>
        </w:rPr>
      </w:r>
    </w:p>
    <w:p w:rsidR="00000000" w:rsidDel="00000000" w:rsidP="00000000" w:rsidRDefault="00000000" w:rsidRPr="00000000" w14:paraId="00000034">
      <w:pPr>
        <w:pBdr>
          <w:top w:space="0" w:sz="0" w:val="nil"/>
          <w:left w:space="0" w:sz="0" w:val="nil"/>
          <w:bottom w:space="0" w:sz="0" w:val="nil"/>
          <w:right w:space="0" w:sz="0" w:val="nil"/>
          <w:between w:space="0" w:sz="0" w:val="nil"/>
        </w:pBdr>
        <w:rPr>
          <w:color w:val="000000"/>
        </w:rPr>
      </w:pPr>
      <w:r w:rsidDel="00000000" w:rsidR="00000000" w:rsidRPr="00000000">
        <w:rPr>
          <w:rFonts w:ascii="Tahoma" w:cs="Tahoma" w:eastAsia="Tahoma" w:hAnsi="Tahoma"/>
          <w:color w:val="000000"/>
          <w:rtl w:val="0"/>
        </w:rPr>
        <w:t xml:space="preserve">Telefon +49 </w:t>
      </w:r>
      <w:r w:rsidDel="00000000" w:rsidR="00000000" w:rsidRPr="00000000">
        <w:rPr>
          <w:color w:val="000000"/>
          <w:rtl w:val="0"/>
        </w:rPr>
        <w:t xml:space="preserve">7071.9492-1169</w:t>
      </w:r>
    </w:p>
    <w:p w:rsidR="00000000" w:rsidDel="00000000" w:rsidP="00000000" w:rsidRDefault="00000000" w:rsidRPr="00000000" w14:paraId="00000035">
      <w:pPr>
        <w:pBdr>
          <w:top w:space="0" w:sz="0" w:val="nil"/>
          <w:left w:space="0" w:sz="0" w:val="nil"/>
          <w:bottom w:space="0" w:sz="0" w:val="nil"/>
          <w:right w:space="0" w:sz="0" w:val="nil"/>
          <w:between w:space="0" w:sz="0" w:val="nil"/>
        </w:pBdr>
        <w:rPr>
          <w:rFonts w:ascii="Tahoma" w:cs="Tahoma" w:eastAsia="Tahoma" w:hAnsi="Tahoma"/>
          <w:color w:val="000000"/>
        </w:rPr>
      </w:pPr>
      <w:r w:rsidDel="00000000" w:rsidR="00000000" w:rsidRPr="00000000">
        <w:rPr>
          <w:rFonts w:ascii="Tahoma" w:cs="Tahoma" w:eastAsia="Tahoma" w:hAnsi="Tahoma"/>
          <w:color w:val="000000"/>
          <w:rtl w:val="0"/>
        </w:rPr>
        <w:t xml:space="preserve">christian.kuebel@tdmsystems.com</w:t>
      </w:r>
    </w:p>
    <w:sectPr>
      <w:headerReference r:id="rId12" w:type="default"/>
      <w:pgSz w:h="16834" w:w="11909" w:orient="portrait"/>
      <w:pgMar w:bottom="1440" w:top="2267"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 w:name="Courier New"/>
  <w:font w:name="Tahoma">
    <w:embedRegular w:fontKey="{00000000-0000-0000-0000-000000000000}" r:id="rId1" w:subsetted="0"/>
    <w:embedBold w:fontKey="{00000000-0000-0000-0000-000000000000}" r:id="rId2" w:subsetted="0"/>
  </w:font>
  <w:font w:name="Noto Sans Symbols">
    <w:embedRegular w:fontKey="{00000000-0000-0000-0000-000000000000}" r:id="rId3" w:subsetted="0"/>
    <w:embedBold w:fontKey="{00000000-0000-0000-0000-000000000000}" r:id="rId4" w:subsetted="0"/>
  </w:font>
</w:fonts>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p w:rsidR="00000000" w:rsidDel="00000000" w:rsidP="00000000" w:rsidRDefault="00000000" w:rsidRPr="00000000" w14:paraId="00000036">
    <w:pPr>
      <w:keepNext w:val="1"/>
      <w:keepLines w:val="1"/>
      <w:pBdr>
        <w:top w:space="0" w:sz="0" w:val="nil"/>
        <w:left w:space="0" w:sz="0" w:val="nil"/>
        <w:bottom w:space="0" w:sz="0" w:val="nil"/>
        <w:right w:space="0" w:sz="0" w:val="nil"/>
        <w:between w:space="0" w:sz="0" w:val="nil"/>
      </w:pBdr>
      <w:spacing w:after="320" w:lineRule="auto"/>
      <w:jc w:val="right"/>
      <w:rPr>
        <w:color w:val="666666"/>
        <w:sz w:val="30"/>
        <w:szCs w:val="30"/>
      </w:rPr>
    </w:pPr>
    <w:r w:rsidDel="00000000" w:rsidR="00000000" w:rsidRPr="00000000">
      <w:rPr>
        <w:color w:val="666666"/>
        <w:sz w:val="30"/>
        <w:szCs w:val="30"/>
      </w:rPr>
      <w:drawing>
        <wp:inline distB="0" distT="0" distL="0" distR="0">
          <wp:extent cx="2379780" cy="252095"/>
          <wp:effectExtent b="0" l="0" r="0" t="0"/>
          <wp:docPr id="1736433223" name="image4.jpg"/>
          <a:graphic>
            <a:graphicData uri="http://schemas.openxmlformats.org/drawingml/2006/picture">
              <pic:pic>
                <pic:nvPicPr>
                  <pic:cNvPr id="0" name="image4.jpg"/>
                  <pic:cNvPicPr preferRelativeResize="0"/>
                </pic:nvPicPr>
                <pic:blipFill>
                  <a:blip r:embed="rId1"/>
                  <a:srcRect b="0" l="0" r="0" t="0"/>
                  <a:stretch>
                    <a:fillRect/>
                  </a:stretch>
                </pic:blipFill>
                <pic:spPr>
                  <a:xfrm>
                    <a:off x="0" y="0"/>
                    <a:ext cx="2379780" cy="252095"/>
                  </a:xfrm>
                  <a:prstGeom prst="rect"/>
                  <a:ln/>
                </pic:spPr>
              </pic:pic>
            </a:graphicData>
          </a:graphic>
        </wp:inline>
      </w:drawing>
    </w: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Noto Sans Symbols" w:cs="Noto Sans Symbols" w:eastAsia="Noto Sans Symbols" w:hAnsi="Noto Sans Symbols"/>
      </w:rPr>
    </w:lvl>
    <w:lvl w:ilvl="1">
      <w:start w:val="1"/>
      <w:numFmt w:val="bullet"/>
      <w:lvlText w:val="o"/>
      <w:lvlJc w:val="left"/>
      <w:pPr>
        <w:ind w:left="1440" w:hanging="360"/>
      </w:pPr>
      <w:rPr>
        <w:rFonts w:ascii="Courier New" w:cs="Courier New" w:eastAsia="Courier New" w:hAnsi="Courier New"/>
      </w:rPr>
    </w:lvl>
    <w:lvl w:ilvl="2">
      <w:start w:val="1"/>
      <w:numFmt w:val="bullet"/>
      <w:lvlText w:val="▪"/>
      <w:lvlJc w:val="left"/>
      <w:pPr>
        <w:ind w:left="2160" w:hanging="360"/>
      </w:pPr>
      <w:rPr>
        <w:rFonts w:ascii="Noto Sans Symbols" w:cs="Noto Sans Symbols" w:eastAsia="Noto Sans Symbols" w:hAnsi="Noto Sans Symbols"/>
      </w:rPr>
    </w:lvl>
    <w:lvl w:ilvl="3">
      <w:start w:val="1"/>
      <w:numFmt w:val="bullet"/>
      <w:lvlText w:val="●"/>
      <w:lvlJc w:val="left"/>
      <w:pPr>
        <w:ind w:left="2880" w:hanging="360"/>
      </w:pPr>
      <w:rPr>
        <w:rFonts w:ascii="Noto Sans Symbols" w:cs="Noto Sans Symbols" w:eastAsia="Noto Sans Symbols" w:hAnsi="Noto Sans Symbols"/>
      </w:rPr>
    </w:lvl>
    <w:lvl w:ilvl="4">
      <w:start w:val="1"/>
      <w:numFmt w:val="bullet"/>
      <w:lvlText w:val="o"/>
      <w:lvlJc w:val="left"/>
      <w:pPr>
        <w:ind w:left="3600" w:hanging="360"/>
      </w:pPr>
      <w:rPr>
        <w:rFonts w:ascii="Courier New" w:cs="Courier New" w:eastAsia="Courier New" w:hAnsi="Courier New"/>
      </w:rPr>
    </w:lvl>
    <w:lvl w:ilvl="5">
      <w:start w:val="1"/>
      <w:numFmt w:val="bullet"/>
      <w:lvlText w:val="▪"/>
      <w:lvlJc w:val="left"/>
      <w:pPr>
        <w:ind w:left="4320" w:hanging="360"/>
      </w:pPr>
      <w:rPr>
        <w:rFonts w:ascii="Noto Sans Symbols" w:cs="Noto Sans Symbols" w:eastAsia="Noto Sans Symbols" w:hAnsi="Noto Sans Symbols"/>
      </w:rPr>
    </w:lvl>
    <w:lvl w:ilvl="6">
      <w:start w:val="1"/>
      <w:numFmt w:val="bullet"/>
      <w:lvlText w:val="●"/>
      <w:lvlJc w:val="left"/>
      <w:pPr>
        <w:ind w:left="5040" w:hanging="360"/>
      </w:pPr>
      <w:rPr>
        <w:rFonts w:ascii="Noto Sans Symbols" w:cs="Noto Sans Symbols" w:eastAsia="Noto Sans Symbols" w:hAnsi="Noto Sans Symbols"/>
      </w:rPr>
    </w:lvl>
    <w:lvl w:ilvl="7">
      <w:start w:val="1"/>
      <w:numFmt w:val="bullet"/>
      <w:lvlText w:val="o"/>
      <w:lvlJc w:val="left"/>
      <w:pPr>
        <w:ind w:left="5760" w:hanging="360"/>
      </w:pPr>
      <w:rPr>
        <w:rFonts w:ascii="Courier New" w:cs="Courier New" w:eastAsia="Courier New" w:hAnsi="Courier New"/>
      </w:rPr>
    </w:lvl>
    <w:lvl w:ilvl="8">
      <w:start w:val="1"/>
      <w:numFmt w:val="bullet"/>
      <w:lvlText w:val="▪"/>
      <w:lvlJc w:val="left"/>
      <w:pPr>
        <w:ind w:left="6480" w:hanging="360"/>
      </w:pPr>
      <w:rPr>
        <w:rFonts w:ascii="Noto Sans Symbols" w:cs="Noto Sans Symbols" w:eastAsia="Noto Sans Symbols" w:hAnsi="Noto Sans Symbols"/>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de-DE"/>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spacing w:after="120" w:before="400" w:lineRule="auto"/>
    </w:pPr>
    <w:rPr>
      <w:sz w:val="40"/>
      <w:szCs w:val="40"/>
    </w:rPr>
  </w:style>
  <w:style w:type="paragraph" w:styleId="Heading2">
    <w:name w:val="heading 2"/>
    <w:basedOn w:val="Normal"/>
    <w:next w:val="Normal"/>
    <w:pPr>
      <w:keepNext w:val="1"/>
      <w:keepLines w:val="1"/>
      <w:spacing w:after="120" w:before="360" w:lineRule="auto"/>
    </w:pPr>
    <w:rPr>
      <w:sz w:val="32"/>
      <w:szCs w:val="32"/>
    </w:rPr>
  </w:style>
  <w:style w:type="paragraph" w:styleId="Heading3">
    <w:name w:val="heading 3"/>
    <w:basedOn w:val="Normal"/>
    <w:next w:val="Normal"/>
    <w:pPr>
      <w:keepNext w:val="1"/>
      <w:keepLines w:val="1"/>
      <w:spacing w:after="80" w:before="320" w:lineRule="auto"/>
    </w:pPr>
    <w:rPr>
      <w:color w:val="434343"/>
      <w:sz w:val="28"/>
      <w:szCs w:val="28"/>
    </w:rPr>
  </w:style>
  <w:style w:type="paragraph" w:styleId="Heading4">
    <w:name w:val="heading 4"/>
    <w:basedOn w:val="Normal"/>
    <w:next w:val="Normal"/>
    <w:pPr>
      <w:keepNext w:val="1"/>
      <w:keepLines w:val="1"/>
      <w:spacing w:after="80" w:before="280" w:lineRule="auto"/>
    </w:pPr>
    <w:rPr>
      <w:color w:val="666666"/>
      <w:sz w:val="24"/>
      <w:szCs w:val="24"/>
    </w:rPr>
  </w:style>
  <w:style w:type="paragraph" w:styleId="Heading5">
    <w:name w:val="heading 5"/>
    <w:basedOn w:val="Normal"/>
    <w:next w:val="Normal"/>
    <w:pPr>
      <w:keepNext w:val="1"/>
      <w:keepLines w:val="1"/>
      <w:spacing w:after="80" w:before="240" w:lineRule="auto"/>
    </w:pPr>
    <w:rPr>
      <w:color w:val="666666"/>
    </w:rPr>
  </w:style>
  <w:style w:type="paragraph" w:styleId="Heading6">
    <w:name w:val="heading 6"/>
    <w:basedOn w:val="Normal"/>
    <w:next w:val="Normal"/>
    <w:pPr>
      <w:keepNext w:val="1"/>
      <w:keepLines w:val="1"/>
      <w:spacing w:after="80" w:before="240" w:lineRule="auto"/>
    </w:pPr>
    <w:rPr>
      <w:i w:val="1"/>
      <w:color w:val="666666"/>
    </w:rPr>
  </w:style>
  <w:style w:type="paragraph" w:styleId="Title">
    <w:name w:val="Title"/>
    <w:basedOn w:val="Normal"/>
    <w:next w:val="Normal"/>
    <w:pPr>
      <w:keepNext w:val="1"/>
      <w:keepLines w:val="1"/>
      <w:spacing w:after="60" w:lineRule="auto"/>
    </w:pPr>
    <w:rPr>
      <w:sz w:val="52"/>
      <w:szCs w:val="52"/>
    </w:rPr>
  </w:style>
  <w:style w:type="paragraph" w:styleId="Standard" w:default="1">
    <w:name w:val="Normal"/>
    <w:qFormat w:val="1"/>
  </w:style>
  <w:style w:type="paragraph" w:styleId="berschrift1">
    <w:name w:val="heading 1"/>
    <w:basedOn w:val="Standard"/>
    <w:next w:val="Standard"/>
    <w:uiPriority w:val="9"/>
    <w:qFormat w:val="1"/>
    <w:pPr>
      <w:keepNext w:val="1"/>
      <w:keepLines w:val="1"/>
      <w:spacing w:after="120" w:before="400"/>
      <w:outlineLvl w:val="0"/>
    </w:pPr>
    <w:rPr>
      <w:sz w:val="40"/>
      <w:szCs w:val="40"/>
    </w:rPr>
  </w:style>
  <w:style w:type="paragraph" w:styleId="berschrift2">
    <w:name w:val="heading 2"/>
    <w:basedOn w:val="Standard"/>
    <w:next w:val="Standard"/>
    <w:uiPriority w:val="9"/>
    <w:semiHidden w:val="1"/>
    <w:unhideWhenUsed w:val="1"/>
    <w:qFormat w:val="1"/>
    <w:pPr>
      <w:keepNext w:val="1"/>
      <w:keepLines w:val="1"/>
      <w:spacing w:after="120" w:before="360"/>
      <w:outlineLvl w:val="1"/>
    </w:pPr>
    <w:rPr>
      <w:sz w:val="32"/>
      <w:szCs w:val="32"/>
    </w:rPr>
  </w:style>
  <w:style w:type="paragraph" w:styleId="berschrift3">
    <w:name w:val="heading 3"/>
    <w:basedOn w:val="Standard"/>
    <w:next w:val="Standard"/>
    <w:uiPriority w:val="9"/>
    <w:semiHidden w:val="1"/>
    <w:unhideWhenUsed w:val="1"/>
    <w:qFormat w:val="1"/>
    <w:pPr>
      <w:keepNext w:val="1"/>
      <w:keepLines w:val="1"/>
      <w:spacing w:after="80" w:before="320"/>
      <w:outlineLvl w:val="2"/>
    </w:pPr>
    <w:rPr>
      <w:color w:val="434343"/>
      <w:sz w:val="28"/>
      <w:szCs w:val="28"/>
    </w:rPr>
  </w:style>
  <w:style w:type="paragraph" w:styleId="berschrift4">
    <w:name w:val="heading 4"/>
    <w:basedOn w:val="Standard"/>
    <w:next w:val="Standard"/>
    <w:uiPriority w:val="9"/>
    <w:semiHidden w:val="1"/>
    <w:unhideWhenUsed w:val="1"/>
    <w:qFormat w:val="1"/>
    <w:pPr>
      <w:keepNext w:val="1"/>
      <w:keepLines w:val="1"/>
      <w:spacing w:after="80" w:before="280"/>
      <w:outlineLvl w:val="3"/>
    </w:pPr>
    <w:rPr>
      <w:color w:val="666666"/>
      <w:sz w:val="24"/>
      <w:szCs w:val="24"/>
    </w:rPr>
  </w:style>
  <w:style w:type="paragraph" w:styleId="berschrift5">
    <w:name w:val="heading 5"/>
    <w:basedOn w:val="Standard"/>
    <w:next w:val="Standard"/>
    <w:uiPriority w:val="9"/>
    <w:semiHidden w:val="1"/>
    <w:unhideWhenUsed w:val="1"/>
    <w:qFormat w:val="1"/>
    <w:pPr>
      <w:keepNext w:val="1"/>
      <w:keepLines w:val="1"/>
      <w:spacing w:after="80" w:before="240"/>
      <w:outlineLvl w:val="4"/>
    </w:pPr>
    <w:rPr>
      <w:color w:val="666666"/>
    </w:rPr>
  </w:style>
  <w:style w:type="paragraph" w:styleId="berschrift6">
    <w:name w:val="heading 6"/>
    <w:basedOn w:val="Standard"/>
    <w:next w:val="Standard"/>
    <w:uiPriority w:val="9"/>
    <w:semiHidden w:val="1"/>
    <w:unhideWhenUsed w:val="1"/>
    <w:qFormat w:val="1"/>
    <w:pPr>
      <w:keepNext w:val="1"/>
      <w:keepLines w:val="1"/>
      <w:spacing w:after="80" w:before="240"/>
      <w:outlineLvl w:val="5"/>
    </w:pPr>
    <w:rPr>
      <w:i w:val="1"/>
      <w:color w:val="666666"/>
    </w:rPr>
  </w:style>
  <w:style w:type="character" w:styleId="Absatz-Standardschriftart" w:default="1">
    <w:name w:val="Default Paragraph Font"/>
    <w:uiPriority w:val="1"/>
    <w:semiHidden w:val="1"/>
    <w:unhideWhenUsed w:val="1"/>
  </w:style>
  <w:style w:type="table" w:styleId="NormaleTabelle" w:default="1">
    <w:name w:val="Normal Table"/>
    <w:uiPriority w:val="99"/>
    <w:semiHidden w:val="1"/>
    <w:unhideWhenUsed w:val="1"/>
    <w:tblPr>
      <w:tblInd w:w="0.0" w:type="dxa"/>
      <w:tblCellMar>
        <w:top w:w="0.0" w:type="dxa"/>
        <w:left w:w="108.0" w:type="dxa"/>
        <w:bottom w:w="0.0" w:type="dxa"/>
        <w:right w:w="108.0" w:type="dxa"/>
      </w:tblCellMar>
    </w:tblPr>
  </w:style>
  <w:style w:type="numbering" w:styleId="KeineListe" w:default="1">
    <w:name w:val="No List"/>
    <w:uiPriority w:val="99"/>
    <w:semiHidden w:val="1"/>
    <w:unhideWhenUsed w:val="1"/>
  </w:style>
  <w:style w:type="table" w:styleId="TableNormal" w:customStyle="1">
    <w:name w:val="Table Normal"/>
    <w:tblPr>
      <w:tblCellMar>
        <w:top w:w="0.0" w:type="dxa"/>
        <w:left w:w="0.0" w:type="dxa"/>
        <w:bottom w:w="0.0" w:type="dxa"/>
        <w:right w:w="0.0" w:type="dxa"/>
      </w:tblCellMar>
    </w:tblPr>
  </w:style>
  <w:style w:type="paragraph" w:styleId="Titel">
    <w:name w:val="Title"/>
    <w:basedOn w:val="Standard"/>
    <w:next w:val="Standard"/>
    <w:uiPriority w:val="10"/>
    <w:qFormat w:val="1"/>
    <w:pPr>
      <w:keepNext w:val="1"/>
      <w:keepLines w:val="1"/>
      <w:spacing w:after="60"/>
    </w:pPr>
    <w:rPr>
      <w:sz w:val="52"/>
      <w:szCs w:val="52"/>
    </w:rPr>
  </w:style>
  <w:style w:type="table" w:styleId="TableNormal0" w:customStyle="1">
    <w:name w:val="Table Normal"/>
    <w:tblPr>
      <w:tblCellMar>
        <w:top w:w="0.0" w:type="dxa"/>
        <w:left w:w="0.0" w:type="dxa"/>
        <w:bottom w:w="0.0" w:type="dxa"/>
        <w:right w:w="0.0" w:type="dxa"/>
      </w:tblCellMar>
    </w:tblPr>
  </w:style>
  <w:style w:type="paragraph" w:styleId="Normal0" w:customStyle="1">
    <w:name w:val="Normal0"/>
    <w:qFormat w:val="1"/>
  </w:style>
  <w:style w:type="paragraph" w:styleId="heading10" w:customStyle="1">
    <w:name w:val="heading 10"/>
    <w:basedOn w:val="Normal0"/>
    <w:next w:val="Normal0"/>
    <w:uiPriority w:val="9"/>
    <w:qFormat w:val="1"/>
    <w:pPr>
      <w:keepNext w:val="1"/>
      <w:keepLines w:val="1"/>
      <w:spacing w:after="120" w:before="400"/>
      <w:outlineLvl w:val="0"/>
    </w:pPr>
    <w:rPr>
      <w:sz w:val="40"/>
      <w:szCs w:val="40"/>
    </w:rPr>
  </w:style>
  <w:style w:type="paragraph" w:styleId="heading20" w:customStyle="1">
    <w:name w:val="heading 20"/>
    <w:basedOn w:val="Normal0"/>
    <w:next w:val="Normal0"/>
    <w:uiPriority w:val="9"/>
    <w:semiHidden w:val="1"/>
    <w:unhideWhenUsed w:val="1"/>
    <w:qFormat w:val="1"/>
    <w:pPr>
      <w:keepNext w:val="1"/>
      <w:keepLines w:val="1"/>
      <w:spacing w:after="120" w:before="360"/>
      <w:outlineLvl w:val="1"/>
    </w:pPr>
    <w:rPr>
      <w:sz w:val="32"/>
      <w:szCs w:val="32"/>
    </w:rPr>
  </w:style>
  <w:style w:type="paragraph" w:styleId="heading30" w:customStyle="1">
    <w:name w:val="heading 30"/>
    <w:basedOn w:val="Normal0"/>
    <w:next w:val="Normal0"/>
    <w:uiPriority w:val="9"/>
    <w:semiHidden w:val="1"/>
    <w:unhideWhenUsed w:val="1"/>
    <w:qFormat w:val="1"/>
    <w:pPr>
      <w:keepNext w:val="1"/>
      <w:keepLines w:val="1"/>
      <w:spacing w:after="80" w:before="320"/>
      <w:outlineLvl w:val="2"/>
    </w:pPr>
    <w:rPr>
      <w:color w:val="434343"/>
      <w:sz w:val="28"/>
      <w:szCs w:val="28"/>
    </w:rPr>
  </w:style>
  <w:style w:type="paragraph" w:styleId="heading40" w:customStyle="1">
    <w:name w:val="heading 40"/>
    <w:basedOn w:val="Normal0"/>
    <w:next w:val="Normal0"/>
    <w:uiPriority w:val="9"/>
    <w:semiHidden w:val="1"/>
    <w:unhideWhenUsed w:val="1"/>
    <w:qFormat w:val="1"/>
    <w:pPr>
      <w:keepNext w:val="1"/>
      <w:keepLines w:val="1"/>
      <w:spacing w:after="80" w:before="280"/>
      <w:outlineLvl w:val="3"/>
    </w:pPr>
    <w:rPr>
      <w:color w:val="666666"/>
      <w:sz w:val="24"/>
      <w:szCs w:val="24"/>
    </w:rPr>
  </w:style>
  <w:style w:type="paragraph" w:styleId="heading50" w:customStyle="1">
    <w:name w:val="heading 50"/>
    <w:basedOn w:val="Normal0"/>
    <w:next w:val="Normal0"/>
    <w:uiPriority w:val="9"/>
    <w:semiHidden w:val="1"/>
    <w:unhideWhenUsed w:val="1"/>
    <w:qFormat w:val="1"/>
    <w:pPr>
      <w:keepNext w:val="1"/>
      <w:keepLines w:val="1"/>
      <w:spacing w:after="80" w:before="240"/>
      <w:outlineLvl w:val="4"/>
    </w:pPr>
    <w:rPr>
      <w:color w:val="666666"/>
    </w:rPr>
  </w:style>
  <w:style w:type="paragraph" w:styleId="heading60" w:customStyle="1">
    <w:name w:val="heading 60"/>
    <w:basedOn w:val="Normal0"/>
    <w:next w:val="Normal0"/>
    <w:uiPriority w:val="9"/>
    <w:semiHidden w:val="1"/>
    <w:unhideWhenUsed w:val="1"/>
    <w:qFormat w:val="1"/>
    <w:pPr>
      <w:keepNext w:val="1"/>
      <w:keepLines w:val="1"/>
      <w:spacing w:after="80" w:before="240"/>
      <w:outlineLvl w:val="5"/>
    </w:pPr>
    <w:rPr>
      <w:i w:val="1"/>
      <w:color w:val="666666"/>
    </w:rPr>
  </w:style>
  <w:style w:type="table" w:styleId="NormalTable0" w:customStyle="1">
    <w:name w:val="Normal Table0"/>
    <w:uiPriority w:val="99"/>
    <w:semiHidden w:val="1"/>
    <w:unhideWhenUsed w:val="1"/>
    <w:tblPr>
      <w:tblInd w:w="0.0" w:type="dxa"/>
      <w:tblCellMar>
        <w:top w:w="0.0" w:type="dxa"/>
        <w:left w:w="108.0" w:type="dxa"/>
        <w:bottom w:w="0.0" w:type="dxa"/>
        <w:right w:w="108.0" w:type="dxa"/>
      </w:tblCellMar>
    </w:tblPr>
  </w:style>
  <w:style w:type="table" w:styleId="TableNormal1" w:customStyle="1">
    <w:name w:val="Table Normal"/>
    <w:tblPr>
      <w:tblCellMar>
        <w:top w:w="0.0" w:type="dxa"/>
        <w:left w:w="0.0" w:type="dxa"/>
        <w:bottom w:w="0.0" w:type="dxa"/>
        <w:right w:w="0.0" w:type="dxa"/>
      </w:tblCellMar>
    </w:tblPr>
  </w:style>
  <w:style w:type="paragraph" w:styleId="Title0" w:customStyle="1">
    <w:name w:val="Title0"/>
    <w:basedOn w:val="Normal0"/>
    <w:next w:val="Normal0"/>
    <w:uiPriority w:val="10"/>
    <w:qFormat w:val="1"/>
    <w:pPr>
      <w:keepNext w:val="1"/>
      <w:keepLines w:val="1"/>
      <w:spacing w:after="60"/>
    </w:pPr>
    <w:rPr>
      <w:sz w:val="52"/>
      <w:szCs w:val="52"/>
    </w:rPr>
  </w:style>
  <w:style w:type="table" w:styleId="TableNormal00" w:customStyle="1">
    <w:name w:val="Table Normal0"/>
    <w:tblPr>
      <w:tblCellMar>
        <w:top w:w="0.0" w:type="dxa"/>
        <w:left w:w="0.0" w:type="dxa"/>
        <w:bottom w:w="0.0" w:type="dxa"/>
        <w:right w:w="0.0" w:type="dxa"/>
      </w:tblCellMar>
    </w:tblPr>
  </w:style>
  <w:style w:type="table" w:styleId="TableNormal10" w:customStyle="1">
    <w:name w:val="Table Normal1"/>
    <w:tblPr>
      <w:tblCellMar>
        <w:top w:w="0.0" w:type="dxa"/>
        <w:left w:w="0.0" w:type="dxa"/>
        <w:bottom w:w="0.0" w:type="dxa"/>
        <w:right w:w="0.0" w:type="dxa"/>
      </w:tblCellMar>
    </w:tblPr>
  </w:style>
  <w:style w:type="paragraph" w:styleId="Untertitel">
    <w:name w:val="Subtitle"/>
    <w:basedOn w:val="Standard"/>
    <w:next w:val="Standard"/>
    <w:uiPriority w:val="11"/>
    <w:qFormat w:val="1"/>
    <w:pPr>
      <w:keepNext w:val="1"/>
      <w:keepLines w:val="1"/>
      <w:pBdr>
        <w:top w:space="0" w:sz="0" w:val="nil"/>
        <w:left w:space="0" w:sz="0" w:val="nil"/>
        <w:bottom w:space="0" w:sz="0" w:val="nil"/>
        <w:right w:space="0" w:sz="0" w:val="nil"/>
        <w:between w:space="0" w:sz="0" w:val="nil"/>
      </w:pBdr>
      <w:spacing w:after="320"/>
    </w:pPr>
    <w:rPr>
      <w:color w:val="666666"/>
      <w:sz w:val="30"/>
      <w:szCs w:val="30"/>
    </w:rPr>
  </w:style>
  <w:style w:type="character" w:styleId="Kommentarzeichen">
    <w:name w:val="annotation reference"/>
    <w:basedOn w:val="Absatz-Standardschriftart"/>
    <w:uiPriority w:val="99"/>
    <w:semiHidden w:val="1"/>
    <w:unhideWhenUsed w:val="1"/>
    <w:rsid w:val="00596350"/>
    <w:rPr>
      <w:sz w:val="16"/>
      <w:szCs w:val="16"/>
    </w:rPr>
  </w:style>
  <w:style w:type="paragraph" w:styleId="Kommentartext">
    <w:name w:val="annotation text"/>
    <w:basedOn w:val="Normal0"/>
    <w:link w:val="KommentartextZchn"/>
    <w:uiPriority w:val="99"/>
    <w:unhideWhenUsed w:val="1"/>
    <w:rsid w:val="00596350"/>
    <w:pPr>
      <w:spacing w:line="240" w:lineRule="auto"/>
    </w:pPr>
    <w:rPr>
      <w:sz w:val="20"/>
      <w:szCs w:val="20"/>
    </w:rPr>
  </w:style>
  <w:style w:type="character" w:styleId="KommentartextZchn" w:customStyle="1">
    <w:name w:val="Kommentartext Zchn"/>
    <w:basedOn w:val="Absatz-Standardschriftart"/>
    <w:link w:val="Kommentartext"/>
    <w:uiPriority w:val="99"/>
    <w:rsid w:val="00596350"/>
    <w:rPr>
      <w:sz w:val="20"/>
      <w:szCs w:val="20"/>
    </w:rPr>
  </w:style>
  <w:style w:type="paragraph" w:styleId="Kommentarthema">
    <w:name w:val="annotation subject"/>
    <w:basedOn w:val="Kommentartext"/>
    <w:next w:val="Kommentartext"/>
    <w:link w:val="KommentarthemaZchn"/>
    <w:uiPriority w:val="99"/>
    <w:semiHidden w:val="1"/>
    <w:unhideWhenUsed w:val="1"/>
    <w:rsid w:val="00596350"/>
    <w:rPr>
      <w:b w:val="1"/>
      <w:bCs w:val="1"/>
    </w:rPr>
  </w:style>
  <w:style w:type="character" w:styleId="KommentarthemaZchn" w:customStyle="1">
    <w:name w:val="Kommentarthema Zchn"/>
    <w:basedOn w:val="KommentartextZchn"/>
    <w:link w:val="Kommentarthema"/>
    <w:uiPriority w:val="99"/>
    <w:semiHidden w:val="1"/>
    <w:rsid w:val="00596350"/>
    <w:rPr>
      <w:b w:val="1"/>
      <w:bCs w:val="1"/>
      <w:sz w:val="20"/>
      <w:szCs w:val="20"/>
    </w:rPr>
  </w:style>
  <w:style w:type="paragraph" w:styleId="Kopfzeile">
    <w:name w:val="header"/>
    <w:basedOn w:val="Normal0"/>
    <w:link w:val="KopfzeileZchn"/>
    <w:uiPriority w:val="99"/>
    <w:unhideWhenUsed w:val="1"/>
    <w:rsid w:val="00E13D3D"/>
    <w:pPr>
      <w:tabs>
        <w:tab w:val="center" w:pos="4536"/>
        <w:tab w:val="right" w:pos="9072"/>
      </w:tabs>
      <w:spacing w:line="240" w:lineRule="auto"/>
    </w:pPr>
  </w:style>
  <w:style w:type="character" w:styleId="KopfzeileZchn" w:customStyle="1">
    <w:name w:val="Kopfzeile Zchn"/>
    <w:basedOn w:val="Absatz-Standardschriftart"/>
    <w:link w:val="Kopfzeile"/>
    <w:uiPriority w:val="99"/>
    <w:rsid w:val="00E13D3D"/>
  </w:style>
  <w:style w:type="paragraph" w:styleId="Fuzeile">
    <w:name w:val="footer"/>
    <w:basedOn w:val="Normal0"/>
    <w:link w:val="FuzeileZchn"/>
    <w:uiPriority w:val="99"/>
    <w:unhideWhenUsed w:val="1"/>
    <w:rsid w:val="00E13D3D"/>
    <w:pPr>
      <w:tabs>
        <w:tab w:val="center" w:pos="4536"/>
        <w:tab w:val="right" w:pos="9072"/>
      </w:tabs>
      <w:spacing w:line="240" w:lineRule="auto"/>
    </w:pPr>
  </w:style>
  <w:style w:type="character" w:styleId="FuzeileZchn" w:customStyle="1">
    <w:name w:val="Fußzeile Zchn"/>
    <w:basedOn w:val="Absatz-Standardschriftart"/>
    <w:link w:val="Fuzeile"/>
    <w:uiPriority w:val="99"/>
    <w:rsid w:val="00E13D3D"/>
  </w:style>
  <w:style w:type="paragraph" w:styleId="berarbeitung">
    <w:name w:val="Revision"/>
    <w:hidden w:val="1"/>
    <w:uiPriority w:val="99"/>
    <w:semiHidden w:val="1"/>
    <w:rsid w:val="00E13D3D"/>
    <w:pPr>
      <w:spacing w:line="240" w:lineRule="auto"/>
    </w:pPr>
  </w:style>
  <w:style w:type="character" w:styleId="Hyperlink">
    <w:name w:val="Hyperlink"/>
    <w:basedOn w:val="Absatz-Standardschriftart"/>
    <w:uiPriority w:val="99"/>
    <w:unhideWhenUsed w:val="1"/>
    <w:rsid w:val="000A03E7"/>
    <w:rPr>
      <w:color w:val="0000ff" w:themeColor="hyperlink"/>
      <w:u w:val="single"/>
    </w:rPr>
  </w:style>
  <w:style w:type="character" w:styleId="NichtaufgelsteErwhnung">
    <w:name w:val="Unresolved Mention"/>
    <w:basedOn w:val="Absatz-Standardschriftart"/>
    <w:uiPriority w:val="99"/>
    <w:semiHidden w:val="1"/>
    <w:unhideWhenUsed w:val="1"/>
    <w:rsid w:val="000A03E7"/>
    <w:rPr>
      <w:color w:val="605e5c"/>
      <w:shd w:color="auto" w:fill="e1dfdd" w:val="clear"/>
    </w:rPr>
  </w:style>
  <w:style w:type="paragraph" w:styleId="Listenabsatz">
    <w:name w:val="List Paragraph"/>
    <w:basedOn w:val="Normal0"/>
    <w:uiPriority w:val="34"/>
    <w:qFormat w:val="1"/>
    <w:rsid w:val="00247151"/>
    <w:pPr>
      <w:ind w:left="720"/>
      <w:contextualSpacing w:val="1"/>
    </w:pPr>
  </w:style>
  <w:style w:type="paragraph" w:styleId="Subtitle0" w:customStyle="1">
    <w:name w:val="Subtitle0"/>
    <w:basedOn w:val="Standard"/>
    <w:next w:val="Standard"/>
    <w:pPr>
      <w:keepNext w:val="1"/>
      <w:keepLines w:val="1"/>
      <w:spacing w:after="320"/>
    </w:pPr>
    <w:rPr>
      <w:color w:val="666666"/>
      <w:sz w:val="30"/>
      <w:szCs w:val="30"/>
    </w:rPr>
  </w:style>
  <w:style w:type="paragraph" w:styleId="Subtitle">
    <w:name w:val="Subtitle"/>
    <w:basedOn w:val="Normal"/>
    <w:next w:val="Normal"/>
    <w:pPr>
      <w:keepNext w:val="1"/>
      <w:keepLines w:val="1"/>
      <w:pBdr>
        <w:top w:space="0" w:sz="0" w:val="nil"/>
        <w:left w:space="0" w:sz="0" w:val="nil"/>
        <w:bottom w:space="0" w:sz="0" w:val="nil"/>
        <w:right w:space="0" w:sz="0" w:val="nil"/>
        <w:between w:space="0" w:sz="0" w:val="nil"/>
      </w:pBdr>
      <w:spacing w:after="320" w:lineRule="auto"/>
    </w:pPr>
    <w:rPr>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11" Type="http://schemas.openxmlformats.org/officeDocument/2006/relationships/image" Target="media/image5.png"/><Relationship Id="rId10" Type="http://schemas.openxmlformats.org/officeDocument/2006/relationships/image" Target="media/image2.png"/><Relationship Id="rId12" Type="http://schemas.openxmlformats.org/officeDocument/2006/relationships/header" Target="header1.xml"/><Relationship Id="rId9" Type="http://schemas.openxmlformats.org/officeDocument/2006/relationships/image" Target="media/image3.png"/><Relationship Id="rId5" Type="http://schemas.openxmlformats.org/officeDocument/2006/relationships/styles" Target="styles.xml"/><Relationship Id="rId6" Type="http://schemas.openxmlformats.org/officeDocument/2006/relationships/customXml" Target="../customXML/item1.xml"/><Relationship Id="rId7" Type="http://schemas.openxmlformats.org/officeDocument/2006/relationships/hyperlink" Target="https://drive.google.com/drive/folders/1y3pQUenect92RvVHcotGTdDtS3y0Swtz" TargetMode="External"/><Relationship Id="rId8" Type="http://schemas.openxmlformats.org/officeDocument/2006/relationships/image" Target="media/image1.png"/></Relationships>
</file>

<file path=word/_rels/fontTable.xml.rels><?xml version="1.0" encoding="UTF-8" standalone="yes"?><Relationships xmlns="http://schemas.openxmlformats.org/package/2006/relationships"><Relationship Id="rId1" Type="http://schemas.openxmlformats.org/officeDocument/2006/relationships/font" Target="fonts/Tahoma-regular.ttf"/><Relationship Id="rId2" Type="http://schemas.openxmlformats.org/officeDocument/2006/relationships/font" Target="fonts/Tahoma-bold.ttf"/><Relationship Id="rId3" Type="http://schemas.openxmlformats.org/officeDocument/2006/relationships/font" Target="fonts/NotoSansSymbols-regular.ttf"/><Relationship Id="rId4" Type="http://schemas.openxmlformats.org/officeDocument/2006/relationships/font" Target="fonts/NotoSansSymbols-bold.ttf"/></Relationships>
</file>

<file path=word/_rels/header1.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WPPXGE3B9ADsD6UR2axZrDmRpYw==">CgMxLjA4AHIhMUtMMzdzVHV5OWp2Xzl5S2NMZnpwN3Q3ZnVyajBEYm5N</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2024-12-12T09:42:00Z</dcterms:created>
  <dc:creator>Simon Sahner</dc:creator>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0x0101004A9C15D9442F4A029E70F5C05A32B13F00A65498C8451640C8BD6A0982E8A6A41000D09DDC95CA1FF44383BD208FF71B6FC3</vt:lpwstr>
  </property>
  <property fmtid="{D5CDD505-2E9C-101B-9397-08002B2CF9AE}" pid="3" name="MediaServiceImageTags">
    <vt:lpwstr/>
  </property>
</Properties>
</file>